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54B1" w14:textId="3C74EACC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525F1A">
        <w:t>Oxlow Bridge School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BEDC35C" w:rsidR="002940F3" w:rsidRDefault="00525F1A" w:rsidP="00C31636">
            <w:pPr>
              <w:pStyle w:val="TableRow"/>
              <w:ind w:left="0" w:right="0"/>
            </w:pPr>
            <w:r>
              <w:t>18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7243689" w:rsidR="002940F3" w:rsidRDefault="00525F1A" w:rsidP="00C31636">
            <w:pPr>
              <w:pStyle w:val="TableRow"/>
              <w:ind w:left="0" w:right="0"/>
            </w:pPr>
            <w:r>
              <w:t>100%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534CF172" w:rsidR="002940F3" w:rsidRDefault="00525F1A" w:rsidP="00C31636">
            <w:pPr>
              <w:pStyle w:val="TableRow"/>
              <w:ind w:left="0" w:right="0"/>
            </w:pPr>
            <w:r>
              <w:t>3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66BFF062" w:rsidR="002940F3" w:rsidRDefault="00525F1A" w:rsidP="00C31636">
            <w:pPr>
              <w:pStyle w:val="TableRow"/>
              <w:ind w:left="0" w:right="0"/>
            </w:pPr>
            <w:r>
              <w:t>24</w:t>
            </w:r>
            <w:r w:rsidRPr="00525F1A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15CCA397" w:rsidR="002940F3" w:rsidRDefault="00525F1A" w:rsidP="00C31636">
            <w:pPr>
              <w:pStyle w:val="TableRow"/>
              <w:ind w:left="0" w:right="0"/>
            </w:pPr>
            <w:r>
              <w:t>1</w:t>
            </w:r>
            <w:r w:rsidRPr="00525F1A">
              <w:rPr>
                <w:vertAlign w:val="superscript"/>
              </w:rPr>
              <w:t>st</w:t>
            </w:r>
            <w:r>
              <w:t xml:space="preserve"> September 2026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3A740ECB" w:rsidR="002940F3" w:rsidRDefault="00525F1A" w:rsidP="00C31636">
            <w:pPr>
              <w:pStyle w:val="TableRow"/>
              <w:ind w:left="0" w:right="0"/>
            </w:pPr>
            <w:r>
              <w:t>Candice Hubbard-Webb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217F0061" w:rsidR="002940F3" w:rsidRDefault="00525F1A" w:rsidP="00C31636">
            <w:pPr>
              <w:pStyle w:val="TableRow"/>
              <w:ind w:left="0" w:right="0"/>
            </w:pPr>
            <w:r>
              <w:t>Candice Hubbard-Webb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5D65BFC4" w:rsidR="002940F3" w:rsidRDefault="00525F1A" w:rsidP="00C31636">
            <w:pPr>
              <w:pStyle w:val="TableRow"/>
              <w:ind w:left="0" w:right="0"/>
            </w:pPr>
            <w:r>
              <w:t>Hermann Farrington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194C5C28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525F1A">
              <w:t>10,625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73CA2211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525F1A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F1D3B98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525F1A">
              <w:t>10,625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</w:t>
      </w:r>
      <w:bookmarkStart w:id="16" w:name="_GoBack"/>
      <w:bookmarkEnd w:id="16"/>
      <w:r>
        <w:t>ement of intent</w:t>
      </w:r>
    </w:p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36684D50" w:rsidR="00E66558" w:rsidRDefault="00525F1A" w:rsidP="00C31636">
            <w:pPr>
              <w:pStyle w:val="TableRowCentered"/>
              <w:ind w:left="0" w:right="0"/>
              <w:jc w:val="left"/>
            </w:pPr>
            <w:r>
              <w:t>Our cohort of students have never been in an educational setting and will find the transition challenging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3271F082" w:rsidR="00E66558" w:rsidRDefault="00525F1A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cohort of students have complex physical and medical needs.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7" w:name="_Toc443397160"/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649F1DAE" w:rsidR="00E66558" w:rsidRDefault="00525F1A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Students will feel comfortable and happy within their new environment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3254C390" w:rsidR="00E66558" w:rsidRDefault="00525F1A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students attend school regularly and display high levels of wellbeing and involvement</w:t>
            </w:r>
          </w:p>
        </w:tc>
      </w:tr>
    </w:tbl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71125EBC" w:rsidR="00E66558" w:rsidRDefault="009D71E8">
      <w:r>
        <w:t xml:space="preserve">Budgeted cost: £ </w:t>
      </w:r>
      <w:r w:rsidR="00525F1A">
        <w:t>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9A91BCD" w:rsidR="00E66558" w:rsidRDefault="00525F1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>N/A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473C154C" w:rsidR="00E66558" w:rsidRDefault="00525F1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641B4ABA" w:rsidR="00E66558" w:rsidRDefault="00525F1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2509A483" w:rsidR="00E66558" w:rsidRDefault="009D71E8">
      <w:r>
        <w:t xml:space="preserve">Budgeted cost: £ </w:t>
      </w:r>
      <w:r w:rsidR="00525F1A">
        <w:rPr>
          <w:i/>
          <w:iCs/>
        </w:rPr>
        <w:t>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418A524C" w:rsidR="00E66558" w:rsidRDefault="00525F1A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3E3C4AE1" w:rsidR="00E66558" w:rsidRDefault="00525F1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4982F7A0" w:rsidR="00E66558" w:rsidRDefault="00525F1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3DB895DA" w:rsidR="00E66558" w:rsidRDefault="009D71E8">
      <w:pPr>
        <w:spacing w:before="240" w:after="120"/>
      </w:pPr>
      <w:r>
        <w:t xml:space="preserve">Budgeted cost: £ </w:t>
      </w:r>
      <w:r w:rsidR="00525F1A">
        <w:rPr>
          <w:i/>
          <w:iCs/>
        </w:rPr>
        <w:t>10,625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525F1A" w14:paraId="29CC8402" w14:textId="77777777" w:rsidTr="00E65AC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B947" w14:textId="77777777" w:rsidR="00525F1A" w:rsidRDefault="00525F1A" w:rsidP="00E65AC5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Music Therapy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AFF0" w14:textId="6F64E736" w:rsidR="00525F1A" w:rsidRPr="00525F1A" w:rsidRDefault="00525F1A" w:rsidP="00E65AC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525F1A">
              <w:rPr>
                <w:sz w:val="22"/>
                <w:szCs w:val="22"/>
              </w:rPr>
              <w:t>Music therapy is</w:t>
            </w:r>
            <w:r w:rsidRPr="00525F1A">
              <w:rPr>
                <w:sz w:val="22"/>
                <w:szCs w:val="22"/>
              </w:rPr>
              <w:t xml:space="preserve"> effective at </w:t>
            </w:r>
            <w:r w:rsidRPr="00525F1A">
              <w:rPr>
                <w:sz w:val="22"/>
                <w:szCs w:val="22"/>
              </w:rPr>
              <w:t>enhancing emotional wellbeing, building confidence, and improving communication skills. It provides a creative outlet that helps reduce anxiety, foster self-expression, and promote positive engagement with learning.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472F" w14:textId="77777777" w:rsidR="00525F1A" w:rsidRDefault="00525F1A" w:rsidP="00E65AC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 and 2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6E36A1C4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525F1A">
        <w:rPr>
          <w:i/>
          <w:iCs/>
          <w:color w:val="104F75"/>
          <w:sz w:val="28"/>
          <w:szCs w:val="28"/>
        </w:rPr>
        <w:t>10,625</w:t>
      </w:r>
    </w:p>
    <w:p w14:paraId="2A7D5542" w14:textId="237F9EAA" w:rsidR="00E66558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5EC054B4" w14:textId="4CB5A0E5" w:rsidR="00525F1A" w:rsidRPr="00525F1A" w:rsidRDefault="00525F1A" w:rsidP="00525F1A">
      <w:r>
        <w:t xml:space="preserve">This section is not applicable as the </w:t>
      </w:r>
      <w:r w:rsidR="009D0D1C">
        <w:t>s</w:t>
      </w:r>
      <w:r>
        <w:t>chool is new and opened its doors in October 2025.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</w:tbl>
    <w:p w14:paraId="2A7D5553" w14:textId="193B71B2" w:rsidR="00E66558" w:rsidRDefault="00E66558" w:rsidP="0008384B"/>
    <w:p w14:paraId="540A892B" w14:textId="46006AFE" w:rsidR="0008384B" w:rsidRPr="0008384B" w:rsidRDefault="00525F1A" w:rsidP="0008384B">
      <w:pPr>
        <w:pStyle w:val="Heading2"/>
      </w:pPr>
      <w:r>
        <w:t>S</w:t>
      </w:r>
      <w:r w:rsidR="0008384B" w:rsidRPr="0008384B">
        <w:t>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F54FCB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7777777" w:rsidR="00ED5108" w:rsidRDefault="00ED5108" w:rsidP="00F54FCB"/>
        </w:tc>
      </w:tr>
      <w:tr w:rsidR="00ED5108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F54FCB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7777777" w:rsidR="00ED5108" w:rsidRDefault="00ED5108" w:rsidP="00F54FCB"/>
        </w:tc>
      </w:tr>
      <w:bookmarkEnd w:id="14"/>
      <w:bookmarkEnd w:id="15"/>
      <w:bookmarkEnd w:id="17"/>
    </w:tbl>
    <w:p w14:paraId="2A7D5564" w14:textId="77777777" w:rsidR="00E66558" w:rsidRDefault="00E66558"/>
    <w:sectPr w:rsidR="00E66558">
      <w:headerReference w:type="default" r:id="rId10"/>
      <w:footerReference w:type="default" r:id="rId11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9204" w14:textId="77777777" w:rsidR="005201C6" w:rsidRDefault="005201C6">
      <w:pPr>
        <w:spacing w:after="0" w:line="240" w:lineRule="auto"/>
      </w:pPr>
      <w:r>
        <w:separator/>
      </w:r>
    </w:p>
  </w:endnote>
  <w:endnote w:type="continuationSeparator" w:id="0">
    <w:p w14:paraId="376A96E7" w14:textId="77777777" w:rsidR="005201C6" w:rsidRDefault="005201C6">
      <w:pPr>
        <w:spacing w:after="0" w:line="240" w:lineRule="auto"/>
      </w:pPr>
      <w:r>
        <w:continuationSeparator/>
      </w:r>
    </w:p>
  </w:endnote>
  <w:endnote w:type="continuationNotice" w:id="1">
    <w:p w14:paraId="207DB352" w14:textId="77777777" w:rsidR="005201C6" w:rsidRDefault="0052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22C15" w14:textId="77777777" w:rsidR="005201C6" w:rsidRDefault="005201C6">
      <w:pPr>
        <w:spacing w:after="0" w:line="240" w:lineRule="auto"/>
      </w:pPr>
      <w:r>
        <w:separator/>
      </w:r>
    </w:p>
  </w:footnote>
  <w:footnote w:type="continuationSeparator" w:id="0">
    <w:p w14:paraId="45208E9D" w14:textId="77777777" w:rsidR="005201C6" w:rsidRDefault="005201C6">
      <w:pPr>
        <w:spacing w:after="0" w:line="240" w:lineRule="auto"/>
      </w:pPr>
      <w:r>
        <w:continuationSeparator/>
      </w:r>
    </w:p>
  </w:footnote>
  <w:footnote w:type="continuationNotice" w:id="1">
    <w:p w14:paraId="1E6128AE" w14:textId="77777777" w:rsidR="005201C6" w:rsidRDefault="00520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25F1A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05BC0"/>
    <w:rsid w:val="00814FB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0D1C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532A"/>
    <w:rsid w:val="00B47C66"/>
    <w:rsid w:val="00B572C4"/>
    <w:rsid w:val="00B60858"/>
    <w:rsid w:val="00B60D69"/>
    <w:rsid w:val="00B6234E"/>
    <w:rsid w:val="00B74D4E"/>
    <w:rsid w:val="00B80219"/>
    <w:rsid w:val="00B87184"/>
    <w:rsid w:val="00B9145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28666CE491D478CFFE50C08D6A923" ma:contentTypeVersion="10" ma:contentTypeDescription="Create a new document." ma:contentTypeScope="" ma:versionID="c629c80f77d97b7ad8e69991c73791dd">
  <xsd:schema xmlns:xsd="http://www.w3.org/2001/XMLSchema" xmlns:xs="http://www.w3.org/2001/XMLSchema" xmlns:p="http://schemas.microsoft.com/office/2006/metadata/properties" xmlns:ns3="7fe0277c-b0c7-46ac-88b7-73b90ca11a1e" targetNamespace="http://schemas.microsoft.com/office/2006/metadata/properties" ma:root="true" ma:fieldsID="80051709e6a31eba8b71dce8a2a17bc5" ns3:_="">
    <xsd:import namespace="7fe0277c-b0c7-46ac-88b7-73b90ca11a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0277c-b0c7-46ac-88b7-73b90ca11a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e0277c-b0c7-46ac-88b7-73b90ca11a1e" xsi:nil="true"/>
  </documentManagement>
</p:properties>
</file>

<file path=customXml/itemProps1.xml><?xml version="1.0" encoding="utf-8"?>
<ds:datastoreItem xmlns:ds="http://schemas.openxmlformats.org/officeDocument/2006/customXml" ds:itemID="{3769903E-EAB0-414F-AAB4-D01D50387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0277c-b0c7-46ac-88b7-73b90ca1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5C435-742D-4E69-8C63-15B58E52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C9F86-9179-44E7-87DF-3D465104815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7fe0277c-b0c7-46ac-88b7-73b90ca11a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Candice Hubbard-Webb</cp:lastModifiedBy>
  <cp:revision>2</cp:revision>
  <cp:lastPrinted>2014-09-18T05:26:00Z</cp:lastPrinted>
  <dcterms:created xsi:type="dcterms:W3CDTF">2025-10-24T13:41:00Z</dcterms:created>
  <dcterms:modified xsi:type="dcterms:W3CDTF">2025-10-24T13:41:00Z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0x010100C1A28666CE491D478CFFE50C08D6A923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